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Sexual Health Education Program</w:t>
      </w:r>
    </w:p>
    <w:p>
      <w:pPr>
        <w:spacing w:after="400"/>
        <w:jc w:val="center"/>
      </w:pPr>
      <w:r>
        <w:rPr>
          <w:b/>
          <w:bCs/>
          <w:sz w:val="28"/>
          <w:szCs w:val="28"/>
        </w:rPr>
        <w:t xml:space="preserve">Senior Years Program (Years 7-10)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Cowandilla Learning Centre - Learning and Behaviour Unit</w:t>
      </w:r>
    </w:p>
    <w:p>
      <w:pPr>
        <w:pStyle w:val="Heading2"/>
      </w:pPr>
      <w:r>
        <w:t xml:space="preserve">Program Overview</w:t>
      </w:r>
    </w:p>
    <w:p>
      <w:pPr>
        <w:spacing w:after="200"/>
      </w:pPr>
      <w:r>
        <w:t xml:space="preserve">This sexual health education program has been designed specifically for CLC-LBU senior students (Years 7-10) in our alternative education setting. The program aligns with South Australian Department for Education curriculum requirements while being adapted for students with complex needs, trauma backgrounds, and diverse learning requirements.</w:t>
      </w:r>
    </w:p>
    <w:p>
      <w:pPr>
        <w:pStyle w:val="Heading2"/>
      </w:pPr>
      <w:r>
        <w:t xml:space="preserve">Curriculum Alignment</w:t>
      </w:r>
    </w:p>
    <w:p>
      <w:pPr>
        <w:spacing w:after="120"/>
      </w:pPr>
      <w:r>
        <w:rPr>
          <w:b/>
          <w:bCs/>
        </w:rPr>
        <w:t xml:space="preserve">This program draws from and aligns with:</w:t>
      </w:r>
    </w:p>
    <w:p>
      <w:pPr>
        <w:pStyle w:val="ListParagraph"/>
        <w:numPr>
          <w:ilvl w:val="0"/>
          <w:numId w:val="2"/>
        </w:numPr>
      </w:pPr>
      <w:r>
        <w:t xml:space="preserve">Keeping Safe: Child Protection Curriculum (KS:CPC) - mandated for Years 7-10</w:t>
      </w:r>
    </w:p>
    <w:p>
      <w:pPr>
        <w:pStyle w:val="ListParagraph"/>
        <w:numPr>
          <w:ilvl w:val="0"/>
          <w:numId w:val="2"/>
        </w:numPr>
      </w:pPr>
      <w:r>
        <w:t xml:space="preserve">Australian Curriculum Health and Physical Education (HPE)</w:t>
      </w:r>
    </w:p>
    <w:p>
      <w:pPr>
        <w:pStyle w:val="ListParagraph"/>
        <w:numPr>
          <w:ilvl w:val="0"/>
          <w:numId w:val="2"/>
        </w:numPr>
      </w:pPr>
      <w:r>
        <w:t xml:space="preserve">SHINE SA evidence-based resources and inclusive approaches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SA Department for Education policies on diversity and inclusion</w:t>
      </w:r>
    </w:p>
    <w:p>
      <w:pPr>
        <w:pStyle w:val="Heading2"/>
      </w:pPr>
      <w:r>
        <w:t xml:space="preserve">Adaptations for LBU Context</w:t>
      </w:r>
    </w:p>
    <w:p>
      <w:pPr>
        <w:spacing w:after="120"/>
      </w:pPr>
      <w:r>
        <w:rPr>
          <w:b/>
          <w:bCs/>
        </w:rPr>
        <w:t xml:space="preserve">Trauma-Informed Approach:</w:t>
      </w:r>
    </w:p>
    <w:p>
      <w:pPr>
        <w:pStyle w:val="ListParagraph"/>
        <w:numPr>
          <w:ilvl w:val="0"/>
          <w:numId w:val="2"/>
        </w:numPr>
      </w:pPr>
      <w:r>
        <w:t xml:space="preserve">All activities use BSEM principles (Body, Relationships, Stamina, Engagement, Character)</w:t>
      </w:r>
    </w:p>
    <w:p>
      <w:pPr>
        <w:pStyle w:val="ListParagraph"/>
        <w:numPr>
          <w:ilvl w:val="0"/>
          <w:numId w:val="2"/>
        </w:numPr>
      </w:pPr>
      <w:r>
        <w:t xml:space="preserve">Window of Tolerance framework integrated into session planning</w:t>
      </w:r>
    </w:p>
    <w:p>
      <w:pPr>
        <w:pStyle w:val="ListParagraph"/>
        <w:numPr>
          <w:ilvl w:val="0"/>
          <w:numId w:val="2"/>
        </w:numPr>
      </w:pPr>
      <w:r>
        <w:t xml:space="preserve">Regulate-Relate-Reason sequencing in all discussions</w:t>
      </w:r>
    </w:p>
    <w:p>
      <w:pPr>
        <w:pStyle w:val="ListParagraph"/>
        <w:numPr>
          <w:ilvl w:val="0"/>
          <w:numId w:val="2"/>
        </w:numPr>
        <w:spacing w:after="180"/>
      </w:pPr>
      <w:r>
        <w:t xml:space="preserve">Clear boundaries and safe discussion agreements established</w:t>
      </w:r>
    </w:p>
    <w:p>
      <w:pPr>
        <w:spacing w:after="120"/>
      </w:pPr>
      <w:r>
        <w:rPr>
          <w:b/>
          <w:bCs/>
        </w:rPr>
        <w:t xml:space="preserve">Student-Centered Design:</w:t>
      </w:r>
    </w:p>
    <w:p>
      <w:pPr>
        <w:pStyle w:val="ListParagraph"/>
        <w:numPr>
          <w:ilvl w:val="0"/>
          <w:numId w:val="2"/>
        </w:numPr>
      </w:pPr>
      <w:r>
        <w:t xml:space="preserve">Choice-based activities allowing student autonomy</w:t>
      </w:r>
    </w:p>
    <w:p>
      <w:pPr>
        <w:pStyle w:val="ListParagraph"/>
        <w:numPr>
          <w:ilvl w:val="0"/>
          <w:numId w:val="2"/>
        </w:numPr>
      </w:pPr>
      <w:r>
        <w:t xml:space="preserve">Visual supports and scaffolded learning</w:t>
      </w:r>
    </w:p>
    <w:p>
      <w:pPr>
        <w:pStyle w:val="ListParagraph"/>
        <w:numPr>
          <w:ilvl w:val="0"/>
          <w:numId w:val="2"/>
        </w:numPr>
      </w:pPr>
      <w:r>
        <w:t xml:space="preserve">Multiple entry points for different learning needs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Opportunities for non-verbal/creative expression</w:t>
      </w:r>
    </w:p>
    <w:p>
      <w:pPr>
        <w:pStyle w:val="Heading2"/>
      </w:pPr>
      <w:r>
        <w:t xml:space="preserve">Program Focus Areas</w:t>
      </w:r>
    </w:p>
    <w:p>
      <w:pPr>
        <w:spacing w:after="200"/>
      </w:pPr>
      <w:r>
        <w:t xml:space="preserve">The program is organized into six interconnected focus areas, each with multiple activity options: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780"/>
        <w:gridCol w:w="3780"/>
      </w:tblGrid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Focus Area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Key Topics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Learning Outcomes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1. Consent &amp; Respectful Relationships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What is consent? Consent in different contexts. Affirmative consent. Ongoing consent. Communication skills. Boundaries and respect.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understand that consent must be freely given, enthusiastic, ongoing, and can be withdrawn. Students can identify respectful communication.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2. Healthy vs Unhealthy Relationships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Warning signs. Red flags. Power and control. Healthy relationship characteristics. Getting help. Compass of Shame integration.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can distinguish between healthy and unhealthy relationship patterns. Students know how to access support.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3. Bodies, Puberty &amp; Reproduction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Puberty changes. Reproductive systems. Menstruation. Body autonomy. Diverse bodies. Pregnancy basics. Contraception overview.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understand bodily changes as normal. Students recognize body diversity and autonomy. Students have basic reproduction knowledge.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4. Online Safety &amp; Image-Based Abuse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Sexting and the law. Image-based abuse. Online grooming. Privacy settings. Digital footprint. Healthy online relationships.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understand legal and safety implications of online behavior. Students can protect themselves and seek help if needed.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5. Diversity &amp; Inclusion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Gender diversity. Sexual orientation. Intersex awareness. Inclusive language. Challenging discrimination. LGBTIQ+ support services.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understand and respect diversity. Students can use inclusive language. Students know where to access affirming support.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5E8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6. Rights, Reporting &amp; Getting Help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Rights and responsibilities. Recognizing abuse. Reporting procedures. Support services. Confidentiality and mandatory reporting. Being a helpful bystander.</w:t>
            </w:r>
          </w:p>
        </w:tc>
        <w:tc>
          <w:tcPr>
            <w:tcW w:type="dxa" w:w="37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Students know their rights. Students can identify when to seek help. Students know multiple pathways to support.</w:t>
            </w:r>
          </w:p>
        </w:tc>
      </w:tr>
    </w:tbl>
    <w:p>
      <w:pPr>
        <w:spacing w:after="200" w:before="300"/>
      </w:pPr>
      <w:r>
        <w:t xml:space="preserve"/>
      </w:r>
    </w:p>
    <w:p>
      <w:pPr>
        <w:pStyle w:val="Heading2"/>
      </w:pPr>
      <w:r>
        <w:t xml:space="preserve">Implementation Guidance</w:t>
      </w:r>
    </w:p>
    <w:p>
      <w:pPr>
        <w:pStyle w:val="Heading3"/>
      </w:pPr>
      <w:r>
        <w:t xml:space="preserve">Session Structure</w:t>
      </w:r>
    </w:p>
    <w:p>
      <w:pPr>
        <w:spacing w:after="120"/>
      </w:pPr>
      <w:r>
        <w:t xml:space="preserve">Each session should follow trauma-informed sequencing: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Regulate:</w:t>
      </w:r>
      <w:r>
        <w:t xml:space="preserve"> Begin with grounding/check-in activity (5-10 mins)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Relate:</w:t>
      </w:r>
      <w:r>
        <w:t xml:space="preserve"> Review safe discussion agreements and build connection (5 mins)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Reason:</w:t>
      </w:r>
      <w:r>
        <w:t xml:space="preserve"> Introduce topic and engage in learning activity (20-30 mins)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Regulate:</w:t>
      </w:r>
      <w:r>
        <w:t xml:space="preserve"> Closing reflection and debrief (5-10 mins)</w:t>
      </w:r>
    </w:p>
    <w:p>
      <w:pPr>
        <w:pStyle w:val="Heading3"/>
      </w:pPr>
      <w:r>
        <w:t xml:space="preserve">Creating Safety</w:t>
      </w:r>
    </w:p>
    <w:p>
      <w:pPr>
        <w:pStyle w:val="ListParagraph"/>
        <w:numPr>
          <w:ilvl w:val="0"/>
          <w:numId w:val="2"/>
        </w:numPr>
      </w:pPr>
      <w:r>
        <w:t xml:space="preserve">Establish clear discussion agreements at the start of the program</w:t>
      </w:r>
    </w:p>
    <w:p>
      <w:pPr>
        <w:pStyle w:val="ListParagraph"/>
        <w:numPr>
          <w:ilvl w:val="0"/>
          <w:numId w:val="2"/>
        </w:numPr>
      </w:pPr>
      <w:r>
        <w:t xml:space="preserve">Use question boxes for anonymous questions</w:t>
      </w:r>
    </w:p>
    <w:p>
      <w:pPr>
        <w:pStyle w:val="ListParagraph"/>
        <w:numPr>
          <w:ilvl w:val="0"/>
          <w:numId w:val="2"/>
        </w:numPr>
      </w:pPr>
      <w:r>
        <w:t xml:space="preserve">Provide opt-out options for uncomfortable discussions</w:t>
      </w:r>
    </w:p>
    <w:p>
      <w:pPr>
        <w:pStyle w:val="ListParagraph"/>
        <w:numPr>
          <w:ilvl w:val="0"/>
          <w:numId w:val="2"/>
        </w:numPr>
      </w:pPr>
      <w:r>
        <w:t xml:space="preserve">Have regulation strategies visible and available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Know mandatory reporting obligations and be transparent about limits of confidentiality</w:t>
      </w:r>
    </w:p>
    <w:p>
      <w:pPr>
        <w:pStyle w:val="Heading3"/>
      </w:pPr>
      <w:r>
        <w:t xml:space="preserve">Differentiation Strategies</w:t>
      </w:r>
    </w:p>
    <w:p>
      <w:pPr>
        <w:pStyle w:val="ListParagraph"/>
        <w:numPr>
          <w:ilvl w:val="0"/>
          <w:numId w:val="2"/>
        </w:numPr>
      </w:pPr>
      <w:r>
        <w:t xml:space="preserve">Provide visual supports for all key concepts</w:t>
      </w:r>
    </w:p>
    <w:p>
      <w:pPr>
        <w:pStyle w:val="ListParagraph"/>
        <w:numPr>
          <w:ilvl w:val="0"/>
          <w:numId w:val="2"/>
        </w:numPr>
      </w:pPr>
      <w:r>
        <w:t xml:space="preserve">Offer multiple response formats (verbal, written, drawing, sorting)</w:t>
      </w:r>
    </w:p>
    <w:p>
      <w:pPr>
        <w:pStyle w:val="ListParagraph"/>
        <w:numPr>
          <w:ilvl w:val="0"/>
          <w:numId w:val="2"/>
        </w:numPr>
      </w:pPr>
      <w:r>
        <w:t xml:space="preserve">Use concrete examples and scenarios relevant to student lives</w:t>
      </w:r>
    </w:p>
    <w:p>
      <w:pPr>
        <w:pStyle w:val="ListParagraph"/>
        <w:numPr>
          <w:ilvl w:val="0"/>
          <w:numId w:val="2"/>
        </w:numPr>
      </w:pPr>
      <w:r>
        <w:t xml:space="preserve">Build in movement breaks and regulation pauses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Allow students to work individually, in pairs, or in small groups based on comfort</w:t>
      </w:r>
    </w:p>
    <w:p>
      <w:pPr>
        <w:pStyle w:val="Heading3"/>
      </w:pPr>
      <w:r>
        <w:t xml:space="preserve">Resources and Materials</w:t>
      </w:r>
    </w:p>
    <w:p>
      <w:pPr>
        <w:spacing w:after="120"/>
      </w:pPr>
      <w:r>
        <w:t xml:space="preserve">Each focus area document includes:</w:t>
      </w:r>
    </w:p>
    <w:p>
      <w:pPr>
        <w:pStyle w:val="ListParagraph"/>
        <w:numPr>
          <w:ilvl w:val="0"/>
          <w:numId w:val="2"/>
        </w:numPr>
      </w:pPr>
      <w:r>
        <w:t xml:space="preserve">Detailed activity instructions</w:t>
      </w:r>
    </w:p>
    <w:p>
      <w:pPr>
        <w:pStyle w:val="ListParagraph"/>
        <w:numPr>
          <w:ilvl w:val="0"/>
          <w:numId w:val="2"/>
        </w:numPr>
      </w:pPr>
      <w:r>
        <w:t xml:space="preserve">Required materials lists</w:t>
      </w:r>
    </w:p>
    <w:p>
      <w:pPr>
        <w:pStyle w:val="ListParagraph"/>
        <w:numPr>
          <w:ilvl w:val="0"/>
          <w:numId w:val="2"/>
        </w:numPr>
      </w:pPr>
      <w:r>
        <w:t xml:space="preserve">Visual supports and handouts</w:t>
      </w:r>
    </w:p>
    <w:p>
      <w:pPr>
        <w:pStyle w:val="ListParagraph"/>
        <w:numPr>
          <w:ilvl w:val="0"/>
          <w:numId w:val="2"/>
        </w:numPr>
      </w:pPr>
      <w:r>
        <w:t xml:space="preserve">Discussion prompts and scenarios</w:t>
      </w:r>
    </w:p>
    <w:p>
      <w:pPr>
        <w:pStyle w:val="ListParagraph"/>
        <w:numPr>
          <w:ilvl w:val="0"/>
          <w:numId w:val="2"/>
        </w:numPr>
      </w:pPr>
      <w:r>
        <w:t xml:space="preserve">Extension and modification options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Links to external resources (SHINE SA, KS:CPC, etc.)</w:t>
      </w:r>
    </w:p>
    <w:p>
      <w:pPr>
        <w:pStyle w:val="Heading2"/>
      </w:pPr>
      <w:r>
        <w:t xml:space="preserve">Key Resources</w:t>
      </w:r>
    </w:p>
    <w:p>
      <w:pPr>
        <w:spacing w:after="120"/>
      </w:pPr>
      <w:r>
        <w:rPr>
          <w:b/>
          <w:bCs/>
        </w:rPr>
        <w:t xml:space="preserve">SHINE SA:</w:t>
      </w:r>
      <w:r>
        <w:t xml:space="preserve"> https://shinesa.org.au - comprehensive sexual health education resources, training, and support</w:t>
      </w:r>
    </w:p>
    <w:p>
      <w:pPr>
        <w:spacing w:after="120"/>
      </w:pPr>
      <w:r>
        <w:rPr>
          <w:b/>
          <w:bCs/>
        </w:rPr>
        <w:t xml:space="preserve">Keeping Safe: Child Protection Curriculum:</w:t>
      </w:r>
      <w:r>
        <w:t xml:space="preserve"> Access via Plink (staff login required)</w:t>
      </w:r>
    </w:p>
    <w:p>
      <w:pPr>
        <w:spacing w:after="120"/>
      </w:pPr>
      <w:r>
        <w:rPr>
          <w:b/>
          <w:bCs/>
        </w:rPr>
        <w:t xml:space="preserve">Youth Law Australia:</w:t>
      </w:r>
      <w:r>
        <w:t xml:space="preserve"> https://youthlaw.com.au/sa/ - legal information on consent, sexting, relationships</w:t>
      </w:r>
    </w:p>
    <w:p>
      <w:pPr>
        <w:spacing w:after="120"/>
      </w:pPr>
      <w:r>
        <w:rPr>
          <w:b/>
          <w:bCs/>
        </w:rPr>
        <w:t xml:space="preserve">SERU Library:</w:t>
      </w:r>
      <w:r>
        <w:t xml:space="preserve"> http://web.seru.sa.edu.au/ - specialist materials for students with disabilities</w:t>
      </w:r>
    </w:p>
    <w:p>
      <w:pPr>
        <w:spacing w:before="3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i/>
          <w:iCs/>
          <w:color w:val="666666"/>
          <w:sz w:val="20"/>
          <w:szCs w:val="20"/>
        </w:rPr>
        <w:t xml:space="preserve">Developed for CLC-LBU Senior Years Program | Aligned with SA Department for Education Curriculum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2E75B6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4F81BD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2026-05-22T04:43:53.175Z</dcterms:created>
  <dcterms:modified xsi:type="dcterms:W3CDTF">2026-05-22T04:43:53.175Z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